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16" w:rsidRPr="00E73E16" w:rsidRDefault="00E73E16" w:rsidP="00E73E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Правила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пожежної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безпеки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при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ідготовці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проведенні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Новорічних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свят 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28750" cy="895350"/>
            <wp:effectExtent l="19050" t="0" r="0" b="0"/>
            <wp:docPr id="1" name="Рисунок 1" descr="http://oppb.com.ua/sites/default/files/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pb.com.ua/sites/default/files/6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переддень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Нового року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іздва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Христового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варто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згадати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 правила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пожежної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техногенної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безпеки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яких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слід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дотримуватись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підготовці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проведенні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святкування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Адже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майже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кожній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установі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відбудуться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святкові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заходи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великою</w:t>
      </w:r>
      <w:proofErr w:type="gram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кількістю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людей.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Тож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відповідальним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пожежну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безпеку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слід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потурбуватись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 те,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щоб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враження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працівників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ід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заходу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залишились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приємними</w:t>
      </w:r>
      <w:proofErr w:type="spellEnd"/>
      <w:r w:rsidRPr="00E73E1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Вимоги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організації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великою</w:t>
      </w:r>
      <w:proofErr w:type="gram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кількістю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людей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1.1. При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заходу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забезпечені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двома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евакуаційними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виходами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норм,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вікнах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глухих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ґрат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розташовані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другого поверху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будівлях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перекриттями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горючих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матеріалів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горючості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Г3, Г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ДСТУ Б В.2.7-19-95 «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випробувань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горючість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Килими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килимові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доріжки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покриття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ідлоги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приміщеннях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масовим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перебуванням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надійно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кріпитися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підлоги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помірно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небезпечними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токсичності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горіння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помірну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димоутворювальну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здатність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ГОСТ 12.1.044-89 «ССБТ.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Пожаровзрывоопасность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веществ и материалов. Номенклатура показателей и методы их определения»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групам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полум’я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РП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РП2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ДСТУ Б В.2.7-70-98 «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Метод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випробування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розповсюдження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полум’я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1.3. Особи,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доручено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святкових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заході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перед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початком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ретельно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оглянути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переконатись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повній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готовності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протипожежної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необхідної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первинних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пожежогасіння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справність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автоматики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сигналізації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 Особам,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відповідальним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пожежну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безпеку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необхі</w:t>
      </w:r>
      <w:proofErr w:type="gram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дно</w:t>
      </w:r>
      <w:proofErr w:type="spellEnd"/>
      <w:proofErr w:type="gram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перевірити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евакуаційних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шляхів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виходів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впевнитись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тому,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вони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відповідають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таким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вимогам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вільні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нічим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захаращені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безпечну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людей,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приміщеннях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споруд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ідлога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шляхах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слизька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розміри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евакуаційних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виходів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їхні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конструктивні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планувальні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освітленість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незадимленості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протяжність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шляхів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облицювання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оздоблення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норм;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шляхах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відчиняються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напрямку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виходу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влаштування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дверей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відчиненням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усередину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lastRenderedPageBreak/>
        <w:t>одночасного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ньому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санвузлах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балконів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лоджій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площадок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зовнішніх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евакуаційних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сходів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винятком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дверей,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ведуть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повітряної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зони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незадимлюваної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сходової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клітки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за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людей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евакуаційних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виходів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замикатися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внутрішні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запори,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легко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відмикаються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шляхи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освітлення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освітлюються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електричним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ітлом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людей);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сходові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марші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площадки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справні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огорожі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поручнями.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1.5.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відключення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електроенергії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персонал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де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вечірній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нічний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можливе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масове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людей, повинен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електричні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ліхтарі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ліхтарів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адміністрацією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зважаючи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чергового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персоналу,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людей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ліхтаря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кожного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чергує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об’єкті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вечірній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нічний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час).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1.6.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ержавної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протипожежні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заходи.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Вимоги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безпеки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ід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новорічних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свят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Новорічну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ялинку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ійкій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2.2. За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електричного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освітлення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можливого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відключення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святкування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світлового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Ялинку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проходах,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виході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на шляхах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Ілюмінація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повинна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виконана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улаштування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електроустановок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освітлювальної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понижуючого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трансформатора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ялинці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застосовуватись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гірлянди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послідовним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увімкненням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лампочок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напругою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12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потужність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лампочок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25 Вт;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електропроводка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лампочок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ялинкової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ілюмінації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виконана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гнучкими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проводами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мідними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жилами;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ідключення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гірлянд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виконуватись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штепсельних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з’єднань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несправності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ілюмінації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нагрів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проводів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блимання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лампочок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іскріння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терміново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вимкнути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2.6.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дозволяється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прикрашати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ялинку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целулоїдними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іграшками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марлею та ватою,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просоченими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вогнезахисною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речовиною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ілюмінації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ялинки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ічки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Маскарадні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костюми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ГОСТ 25779-90 «Игрушки. Общие требования безопасности и методы контроля».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3.Заходи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безпеки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поводженні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іротехнічними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виробами</w:t>
      </w:r>
      <w:proofErr w:type="spellEnd"/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необережність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щороку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фіксується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чимало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травмування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людей.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Нерідко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вибухонебезпечні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потрапляють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рук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lastRenderedPageBreak/>
        <w:t>дітям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Палаючі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ракети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залітають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балкони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квартир,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розбивають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шибки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вікон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будинках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Найнебезпечніше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спалахнути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миттєво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тривалого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тління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коли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нікого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буде.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уникнути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нещасних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точно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люди,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розуміють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неправильного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3.2. При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побутових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піротехнічних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звернути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сертифікатів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ідповідності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реалізація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заборонені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Продавати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суб’єкти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ряду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свідоцтва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спеціальної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допуску до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піротехнічними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виробами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3.4. Продаж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побутових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спеціалізованих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відділах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секціях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магазинів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дозволяється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верхніх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поверхах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нижніх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поверхах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вітринах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стендах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розташовуватися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муляжі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3.5. Заборонено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розміщувати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відділи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секції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побутових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ближче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4 м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евакуаційних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виходів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для продажу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обладнані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системами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автоматики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забезпечені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пожежогасіння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Побутові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інструкцію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текст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вміщується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упаковці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додаватися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окремому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аркуші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іткими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добре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помітними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3.8. Заборонено продаж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яка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втратила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ідентифікаційні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ознаки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простроченим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терміном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простроченим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гарантійним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терміном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забракованої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без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Реалізація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побутових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ринках не дозволена.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3.10. При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зберіганні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споживач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унеможливлення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безконтрольного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неповнолітніх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випадкової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ініціалізації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відкритого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вогню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куріння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нагрівальних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приладів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зоні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забороненій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рішеннями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піротехнічними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виробами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відстані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ближче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50-ти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метрів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будівель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споруд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вогненебезпечних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 —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відстані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100–150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метрів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Безпечна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відстань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на яку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відійти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підпалювання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ґніту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становити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10 м.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3.13.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приведення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піротехнічного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того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спрацював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підходити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15–20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хвилин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ґніт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повільно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горіти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виріб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дострілює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порушенні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піротехнічних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3.15. При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використанні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іротехнічних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виробів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необхідно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звернути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увагу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таке</w:t>
      </w:r>
      <w:proofErr w:type="spellEnd"/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ракети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летять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вгору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дерев’яним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стабілізатором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помилково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закопують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землю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примотують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скотчем до дерев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ракети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вкласти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стабілізатором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надійно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закріплену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ємність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підпалити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ґніт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більшості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ракет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ґніт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закритий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ковпачком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жовтогарячого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кольору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загорнутий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вологозахищений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папі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целофанову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плівку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звільнити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ґніт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гор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обмеженому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просторі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ґніт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стане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горіти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становитиме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небезпеку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поруч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ракетою;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феєрверка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зазвичай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ільше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року, тому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пороховий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заряд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злежується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. Прострочена, 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волога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вибухнути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набагато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заводом-виробником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на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римських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свічах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» написана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зарядів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тому при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треба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порахувати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постріли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переконатися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виріб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відпрацював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цілком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феєрверки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івну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поверхню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обклавши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камінням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прикріпити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до вертикального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кілка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властивість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підстрибувати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перевертатися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вистрілювання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b/>
          <w:bCs/>
          <w:sz w:val="24"/>
          <w:szCs w:val="24"/>
        </w:rPr>
        <w:t>3.16. Заборонено: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наявні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зіпсовані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ідмочені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тріщинами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пошкодженнями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корпусу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ґноту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розбирати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іддавати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механічним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впливам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переносити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кишенях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одягом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іротехнікою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нетверезому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кидати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ноги перехожим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вікон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балконів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запускати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феєрверки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дахів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будинків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курити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сушити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відсиріли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на батареях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опалення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печах;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саморобними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іротехнічними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запалювати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бенгальські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вогні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ялинки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великому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скупченні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людей,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маскарадних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костюмах;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ідривати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петарди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покинутих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будівлях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житла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цілитися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хлопавкою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обличчя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іляти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легкозаймисті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E16" w:rsidRPr="00E73E16" w:rsidRDefault="00E73E16" w:rsidP="00E7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намагатися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повторно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запустити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іротехнічні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неспрацювання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будь-яких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причин.</w:t>
      </w:r>
    </w:p>
    <w:p w:rsidR="00E73E16" w:rsidRPr="00E73E16" w:rsidRDefault="00E73E16" w:rsidP="00E73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редакцією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журналу </w:t>
      </w:r>
      <w:hyperlink r:id="rId5" w:tgtFrame="_blank" w:history="1">
        <w:r w:rsidRPr="00E73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«Охорона праці і пожежна безпека»</w:t>
        </w:r>
      </w:hyperlink>
      <w:r w:rsidRPr="00E73E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73E16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E73E16">
        <w:rPr>
          <w:rFonts w:ascii="Times New Roman" w:eastAsia="Times New Roman" w:hAnsi="Times New Roman" w:cs="Times New Roman"/>
          <w:sz w:val="24"/>
          <w:szCs w:val="24"/>
        </w:rPr>
        <w:t>іально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73E16">
        <w:rPr>
          <w:rFonts w:ascii="Times New Roman" w:eastAsia="Times New Roman" w:hAnsi="Times New Roman" w:cs="Times New Roman"/>
          <w:sz w:val="24"/>
          <w:szCs w:val="24"/>
        </w:rPr>
        <w:t>інтернет-порталу</w:t>
      </w:r>
      <w:proofErr w:type="spellEnd"/>
      <w:r w:rsidRPr="00E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73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www.oppb.com.ua</w:t>
        </w:r>
      </w:hyperlink>
    </w:p>
    <w:p w:rsidR="00354D34" w:rsidRDefault="00354D34"/>
    <w:sectPr w:rsidR="0035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E16"/>
    <w:rsid w:val="00354D34"/>
    <w:rsid w:val="00E7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E16"/>
    <w:rPr>
      <w:b/>
      <w:bCs/>
    </w:rPr>
  </w:style>
  <w:style w:type="character" w:styleId="a5">
    <w:name w:val="Emphasis"/>
    <w:basedOn w:val="a0"/>
    <w:uiPriority w:val="20"/>
    <w:qFormat/>
    <w:rsid w:val="00E73E16"/>
    <w:rPr>
      <w:i/>
      <w:iCs/>
    </w:rPr>
  </w:style>
  <w:style w:type="character" w:styleId="a6">
    <w:name w:val="Hyperlink"/>
    <w:basedOn w:val="a0"/>
    <w:uiPriority w:val="99"/>
    <w:semiHidden/>
    <w:unhideWhenUsed/>
    <w:rsid w:val="00E73E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pb.com.ua/" TargetMode="External"/><Relationship Id="rId5" Type="http://schemas.openxmlformats.org/officeDocument/2006/relationships/hyperlink" Target="http://oppb.com.ua/node/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1543</Words>
  <Characters>8801</Characters>
  <Application>Microsoft Office Word</Application>
  <DocSecurity>0</DocSecurity>
  <Lines>73</Lines>
  <Paragraphs>20</Paragraphs>
  <ScaleCrop>false</ScaleCrop>
  <Company>Microsoft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2015-12-23T11:27:00Z</dcterms:created>
  <dcterms:modified xsi:type="dcterms:W3CDTF">2015-12-23T11:31:00Z</dcterms:modified>
</cp:coreProperties>
</file>